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  <w:tab w:val="left" w:pos="1050"/>
        </w:tabs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研究进展报告</w:t>
      </w:r>
      <w:bookmarkStart w:id="0" w:name="_GoBack"/>
      <w:bookmarkEnd w:id="0"/>
    </w:p>
    <w:p>
      <w:pPr>
        <w:jc w:val="center"/>
        <w:rPr>
          <w:rFonts w:hint="eastAsia"/>
        </w:rPr>
      </w:pPr>
      <w:r>
        <w:rPr>
          <w:rFonts w:hint="eastAsia"/>
          <w:b/>
          <w:sz w:val="32"/>
          <w:szCs w:val="32"/>
        </w:rPr>
        <w:t xml:space="preserve">                                                         </w:t>
      </w:r>
      <w:r>
        <w:rPr>
          <w:rFonts w:hint="eastAsia"/>
        </w:rPr>
        <w:t xml:space="preserve">           </w:t>
      </w:r>
    </w:p>
    <w:tbl>
      <w:tblPr>
        <w:tblStyle w:val="5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32"/>
        <w:gridCol w:w="2344"/>
        <w:gridCol w:w="60"/>
        <w:gridCol w:w="2374"/>
        <w:gridCol w:w="30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7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447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7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临床研究类别</w:t>
            </w:r>
          </w:p>
        </w:tc>
        <w:tc>
          <w:tcPr>
            <w:tcW w:w="7447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eastAsia="仿宋" w:cs="仿宋"/>
                <w:color w:val="000000"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药物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 xml:space="preserve">临床试验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□医疗器械临床试验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（含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体外诊断试剂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 xml:space="preserve">□研究者发起的临床研究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7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申办方/资助方</w:t>
            </w:r>
          </w:p>
        </w:tc>
        <w:tc>
          <w:tcPr>
            <w:tcW w:w="7447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7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主要研究者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承担科室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7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伦理审查委员会批准的跟踪审查频率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本次报告</w:t>
            </w:r>
          </w:p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数据起止日期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7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递交资料</w:t>
            </w:r>
          </w:p>
        </w:tc>
        <w:tc>
          <w:tcPr>
            <w:tcW w:w="7447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1" w:hRule="atLeast"/>
          <w:jc w:val="center"/>
        </w:trPr>
        <w:tc>
          <w:tcPr>
            <w:tcW w:w="9619" w:type="dxa"/>
            <w:gridSpan w:val="7"/>
            <w:vAlign w:val="center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一、</w:t>
            </w:r>
            <w:r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信息</w:t>
            </w:r>
          </w:p>
          <w:p>
            <w:pPr>
              <w:widowControl w:val="0"/>
              <w:numPr>
                <w:ilvl w:val="0"/>
                <w:numId w:val="1"/>
              </w:numPr>
              <w:autoSpaceDE/>
              <w:autoSpaceDN/>
              <w:spacing w:before="0" w:after="0" w:line="276" w:lineRule="auto"/>
              <w:ind w:left="0" w:firstLine="0"/>
              <w:jc w:val="both"/>
              <w:rPr>
                <w:rFonts w:hint="eastAsia" w:eastAsia="仿宋" w:cs="仿宋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合同研究总例数：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例</w:t>
            </w:r>
          </w:p>
          <w:p>
            <w:pPr>
              <w:widowControl w:val="0"/>
              <w:numPr>
                <w:ilvl w:val="0"/>
                <w:numId w:val="1"/>
              </w:numPr>
              <w:autoSpaceDE/>
              <w:autoSpaceDN/>
              <w:spacing w:before="0" w:after="0" w:line="276" w:lineRule="auto"/>
              <w:ind w:left="0" w:firstLine="0"/>
              <w:jc w:val="both"/>
              <w:rPr>
                <w:rFonts w:hint="eastAsia" w:eastAsia="仿宋" w:cs="仿宋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已入组例数：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例</w:t>
            </w:r>
          </w:p>
          <w:p>
            <w:pPr>
              <w:widowControl w:val="0"/>
              <w:numPr>
                <w:ilvl w:val="0"/>
                <w:numId w:val="1"/>
              </w:numPr>
              <w:autoSpaceDE/>
              <w:autoSpaceDN/>
              <w:spacing w:before="0" w:after="0" w:line="276" w:lineRule="auto"/>
              <w:ind w:left="0" w:firstLine="0"/>
              <w:jc w:val="both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完成观察例数：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例</w:t>
            </w:r>
          </w:p>
          <w:p>
            <w:pPr>
              <w:widowControl w:val="0"/>
              <w:numPr>
                <w:ilvl w:val="0"/>
                <w:numId w:val="1"/>
              </w:numPr>
              <w:autoSpaceDE/>
              <w:autoSpaceDN/>
              <w:spacing w:before="0" w:after="0" w:line="276" w:lineRule="auto"/>
              <w:ind w:left="0" w:firstLine="0"/>
              <w:jc w:val="both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提前退出例数：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例  （请另附“提前退出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一览表”）</w:t>
            </w:r>
          </w:p>
          <w:p>
            <w:pPr>
              <w:widowControl w:val="0"/>
              <w:numPr>
                <w:ilvl w:val="0"/>
                <w:numId w:val="1"/>
              </w:numPr>
              <w:autoSpaceDE/>
              <w:autoSpaceDN/>
              <w:spacing w:before="0" w:after="0" w:line="276" w:lineRule="auto"/>
              <w:ind w:left="0" w:firstLine="0"/>
              <w:jc w:val="both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SAE/SUSAR例数：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例（请另附“SAE/SUSAR一览表”）</w:t>
            </w:r>
          </w:p>
          <w:p>
            <w:pPr>
              <w:widowControl w:val="0"/>
              <w:numPr>
                <w:ilvl w:val="0"/>
                <w:numId w:val="1"/>
              </w:numPr>
              <w:autoSpaceDE/>
              <w:autoSpaceDN/>
              <w:spacing w:before="0" w:after="0" w:line="276" w:lineRule="auto"/>
              <w:ind w:left="0" w:firstLine="0"/>
              <w:jc w:val="both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违背/偏离方案事件例次：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例次（请另附“违背/偏离方案一览表”）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二、研究进展情况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1.研究阶段：□尚未入组 □已入组，正在实施研究 □完成入组，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研究参与者的研究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干预尚未完成  □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研究参与者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的研究干预已经完成   □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的随访已经完成  □后期数据处理阶段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2.是否存在影响研究进行的情况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 xml:space="preserve">：□是（请另页说明）     □否  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3.研究风险是否超过预期？  □是（请另页说明）      □否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4.是否存在影响研究风险/受益比的文献报道或最新研究结果？□是（请另页说明）  □否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5.研究中是否存在影响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权益的问题：□是（请另页说明）       □否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6.SAE/SUSAR或方案规定必须报告的重要医学事件已经及时报告：□是  □否 □不适用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7.研究过程中发生的违背/偏离方案事件已经及时报告：           □是  □否 □不适用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8.研究团队人员是否有变更？□是（请另页说明变更情况）    □否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default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9.是否申请延长批件有效期  □是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主要研究者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签名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4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auto"/>
        <w:jc w:val="center"/>
        <w:rPr>
          <w:rFonts w:hint="eastAsia" w:eastAsia="仿宋" w:cs="仿宋"/>
          <w:sz w:val="21"/>
          <w:szCs w:val="21"/>
          <w:highlight w:val="none"/>
        </w:rPr>
      </w:pPr>
      <w:r>
        <w:rPr>
          <w:rFonts w:hint="eastAsia" w:eastAsia="仿宋" w:cs="仿宋"/>
          <w:sz w:val="21"/>
          <w:szCs w:val="21"/>
          <w:highlight w:val="none"/>
        </w:rPr>
        <w:t>注：</w:t>
      </w:r>
      <w:r>
        <w:rPr>
          <w:rFonts w:eastAsia="仿宋" w:cs="仿宋"/>
          <w:sz w:val="21"/>
          <w:szCs w:val="21"/>
          <w:highlight w:val="none"/>
        </w:rPr>
        <w:fldChar w:fldCharType="begin"/>
      </w:r>
      <w:r>
        <w:rPr>
          <w:rFonts w:eastAsia="仿宋" w:cs="仿宋"/>
          <w:sz w:val="21"/>
          <w:szCs w:val="21"/>
          <w:highlight w:val="none"/>
        </w:rPr>
        <w:instrText xml:space="preserve"> </w:instrText>
      </w:r>
      <w:r>
        <w:rPr>
          <w:rFonts w:hint="eastAsia" w:eastAsia="仿宋" w:cs="仿宋"/>
          <w:sz w:val="21"/>
          <w:szCs w:val="21"/>
          <w:highlight w:val="none"/>
        </w:rPr>
        <w:instrText xml:space="preserve">= 1 \* GB3</w:instrText>
      </w:r>
      <w:r>
        <w:rPr>
          <w:rFonts w:eastAsia="仿宋" w:cs="仿宋"/>
          <w:sz w:val="21"/>
          <w:szCs w:val="21"/>
          <w:highlight w:val="none"/>
        </w:rPr>
        <w:instrText xml:space="preserve"> </w:instrText>
      </w:r>
      <w:r>
        <w:rPr>
          <w:rFonts w:eastAsia="仿宋" w:cs="仿宋"/>
          <w:sz w:val="21"/>
          <w:szCs w:val="21"/>
          <w:highlight w:val="none"/>
        </w:rPr>
        <w:fldChar w:fldCharType="separate"/>
      </w:r>
      <w:r>
        <w:rPr>
          <w:rFonts w:hint="eastAsia" w:eastAsia="仿宋" w:cs="仿宋"/>
          <w:sz w:val="21"/>
          <w:szCs w:val="21"/>
          <w:highlight w:val="none"/>
        </w:rPr>
        <w:t>①</w:t>
      </w:r>
      <w:r>
        <w:rPr>
          <w:rFonts w:eastAsia="仿宋" w:cs="仿宋"/>
          <w:sz w:val="21"/>
          <w:szCs w:val="21"/>
          <w:highlight w:val="none"/>
        </w:rPr>
        <w:fldChar w:fldCharType="end"/>
      </w:r>
      <w:r>
        <w:rPr>
          <w:rFonts w:hint="eastAsia" w:eastAsia="仿宋" w:cs="仿宋"/>
          <w:sz w:val="21"/>
          <w:szCs w:val="21"/>
          <w:highlight w:val="none"/>
        </w:rPr>
        <w:t>“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提前退出</w:t>
      </w:r>
      <w:r>
        <w:rPr>
          <w:rFonts w:hint="eastAsia" w:eastAsia="仿宋" w:cs="仿宋"/>
          <w:color w:val="000000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一览表”至少应包括：</w:t>
      </w:r>
      <w:r>
        <w:rPr>
          <w:rFonts w:hint="eastAsia" w:eastAsia="仿宋" w:cs="仿宋"/>
          <w:color w:val="000000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编号、退出原因、退出时</w:t>
      </w:r>
      <w:r>
        <w:rPr>
          <w:rFonts w:hint="eastAsia" w:eastAsia="仿宋" w:cs="仿宋"/>
          <w:color w:val="000000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健康情况。</w:t>
      </w:r>
      <w:r>
        <w:rPr>
          <w:rFonts w:eastAsia="仿宋" w:cs="仿宋"/>
          <w:sz w:val="21"/>
          <w:szCs w:val="21"/>
          <w:highlight w:val="none"/>
        </w:rPr>
        <w:fldChar w:fldCharType="begin"/>
      </w:r>
      <w:r>
        <w:rPr>
          <w:rFonts w:eastAsia="仿宋" w:cs="仿宋"/>
          <w:sz w:val="21"/>
          <w:szCs w:val="21"/>
          <w:highlight w:val="none"/>
        </w:rPr>
        <w:instrText xml:space="preserve"> </w:instrText>
      </w:r>
      <w:r>
        <w:rPr>
          <w:rFonts w:hint="eastAsia" w:eastAsia="仿宋" w:cs="仿宋"/>
          <w:sz w:val="21"/>
          <w:szCs w:val="21"/>
          <w:highlight w:val="none"/>
        </w:rPr>
        <w:instrText xml:space="preserve">= 2 \* GB3</w:instrText>
      </w:r>
      <w:r>
        <w:rPr>
          <w:rFonts w:eastAsia="仿宋" w:cs="仿宋"/>
          <w:sz w:val="21"/>
          <w:szCs w:val="21"/>
          <w:highlight w:val="none"/>
        </w:rPr>
        <w:instrText xml:space="preserve"> </w:instrText>
      </w:r>
      <w:r>
        <w:rPr>
          <w:rFonts w:eastAsia="仿宋" w:cs="仿宋"/>
          <w:sz w:val="21"/>
          <w:szCs w:val="21"/>
          <w:highlight w:val="none"/>
        </w:rPr>
        <w:fldChar w:fldCharType="separate"/>
      </w:r>
      <w:r>
        <w:rPr>
          <w:rFonts w:hint="eastAsia" w:eastAsia="仿宋" w:cs="仿宋"/>
          <w:sz w:val="21"/>
          <w:szCs w:val="21"/>
          <w:highlight w:val="none"/>
        </w:rPr>
        <w:t>②</w:t>
      </w:r>
      <w:r>
        <w:rPr>
          <w:rFonts w:eastAsia="仿宋" w:cs="仿宋"/>
          <w:sz w:val="21"/>
          <w:szCs w:val="21"/>
          <w:highlight w:val="none"/>
        </w:rPr>
        <w:fldChar w:fldCharType="end"/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“SAE/SUSAR一览表”至少应包括</w:t>
      </w:r>
      <w:r>
        <w:rPr>
          <w:rFonts w:hint="eastAsia" w:eastAsia="仿宋" w:cs="仿宋"/>
          <w:color w:val="000000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编号、SAE/SUSAR、具体诊断、与该临床研究的相关性、预期性、</w:t>
      </w:r>
      <w:r>
        <w:rPr>
          <w:rFonts w:hint="eastAsia" w:eastAsia="仿宋" w:cs="仿宋"/>
          <w:color w:val="000000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转归和是否赔偿。</w:t>
      </w:r>
      <w:r>
        <w:rPr>
          <w:rFonts w:eastAsia="仿宋" w:cs="仿宋"/>
          <w:color w:val="000000"/>
          <w:sz w:val="21"/>
          <w:szCs w:val="21"/>
          <w:highlight w:val="none"/>
        </w:rPr>
        <w:fldChar w:fldCharType="begin"/>
      </w:r>
      <w:r>
        <w:rPr>
          <w:rFonts w:eastAsia="仿宋" w:cs="仿宋"/>
          <w:color w:val="000000"/>
          <w:sz w:val="21"/>
          <w:szCs w:val="21"/>
          <w:highlight w:val="none"/>
        </w:rPr>
        <w:instrText xml:space="preserve"> </w:instrTex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instrText xml:space="preserve">= 3 \* GB3</w:instrText>
      </w:r>
      <w:r>
        <w:rPr>
          <w:rFonts w:eastAsia="仿宋" w:cs="仿宋"/>
          <w:color w:val="000000"/>
          <w:sz w:val="21"/>
          <w:szCs w:val="21"/>
          <w:highlight w:val="none"/>
        </w:rPr>
        <w:instrText xml:space="preserve"> </w:instrText>
      </w:r>
      <w:r>
        <w:rPr>
          <w:rFonts w:eastAsia="仿宋" w:cs="仿宋"/>
          <w:color w:val="000000"/>
          <w:sz w:val="21"/>
          <w:szCs w:val="21"/>
          <w:highlight w:val="none"/>
        </w:rPr>
        <w:fldChar w:fldCharType="separate"/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③</w:t>
      </w:r>
      <w:r>
        <w:rPr>
          <w:rFonts w:eastAsia="仿宋" w:cs="仿宋"/>
          <w:color w:val="000000"/>
          <w:sz w:val="21"/>
          <w:szCs w:val="21"/>
          <w:highlight w:val="none"/>
        </w:rPr>
        <w:fldChar w:fldCharType="end"/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“违背/偏离方案一览表”至少应</w:t>
      </w:r>
      <w:r>
        <w:rPr>
          <w:rFonts w:hint="eastAsia" w:eastAsia="仿宋" w:cs="仿宋"/>
          <w:bCs/>
          <w:color w:val="000000"/>
          <w:sz w:val="21"/>
          <w:szCs w:val="21"/>
          <w:highlight w:val="none"/>
        </w:rPr>
        <w:t>包括</w:t>
      </w:r>
      <w:r>
        <w:rPr>
          <w:rFonts w:hint="eastAsia" w:eastAsia="仿宋" w:cs="仿宋"/>
          <w:bCs/>
          <w:color w:val="000000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bCs/>
          <w:color w:val="000000"/>
          <w:sz w:val="21"/>
          <w:szCs w:val="21"/>
          <w:highlight w:val="none"/>
        </w:rPr>
        <w:t>编号、发生日期、发现日期、违背/偏离方案类型、事件描述、事件发生的原因、对</w:t>
      </w:r>
      <w:r>
        <w:rPr>
          <w:rFonts w:hint="eastAsia" w:eastAsia="仿宋" w:cs="仿宋"/>
          <w:bCs/>
          <w:color w:val="000000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bCs/>
          <w:color w:val="000000"/>
          <w:sz w:val="21"/>
          <w:szCs w:val="21"/>
          <w:highlight w:val="none"/>
        </w:rPr>
        <w:t>的影响、对研究结果的影响和处理措施。其中，方案违背类型：</w:t>
      </w:r>
      <w:r>
        <w:rPr>
          <w:rFonts w:hint="eastAsia" w:eastAsia="仿宋" w:cs="仿宋"/>
          <w:sz w:val="21"/>
          <w:szCs w:val="21"/>
          <w:highlight w:val="none"/>
        </w:rPr>
        <w:t>1.重大方案违背：1.1纳入不符合纳入标准的</w:t>
      </w:r>
      <w:r>
        <w:rPr>
          <w:rFonts w:hint="eastAsia" w:eastAsia="仿宋" w:cs="仿宋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sz w:val="21"/>
          <w:szCs w:val="21"/>
          <w:highlight w:val="none"/>
        </w:rPr>
        <w:t>；1.2研究过程中，符合提前中止研究标准而没有让</w:t>
      </w:r>
      <w:r>
        <w:rPr>
          <w:rFonts w:hint="eastAsia" w:eastAsia="仿宋" w:cs="仿宋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sz w:val="21"/>
          <w:szCs w:val="21"/>
          <w:highlight w:val="none"/>
        </w:rPr>
        <w:t>退出；1.3给予</w:t>
      </w:r>
      <w:r>
        <w:rPr>
          <w:rFonts w:hint="eastAsia" w:eastAsia="仿宋" w:cs="仿宋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sz w:val="21"/>
          <w:szCs w:val="21"/>
          <w:highlight w:val="none"/>
        </w:rPr>
        <w:t>错误的治疗或不正确的剂量；1.4给予</w:t>
      </w:r>
      <w:r>
        <w:rPr>
          <w:rFonts w:hint="eastAsia" w:eastAsia="仿宋" w:cs="仿宋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sz w:val="21"/>
          <w:szCs w:val="21"/>
          <w:highlight w:val="none"/>
        </w:rPr>
        <w:t>方案禁用的合并用药；1.5任何偏离研究特定的程序或评估，从而对</w:t>
      </w:r>
      <w:r>
        <w:rPr>
          <w:rFonts w:hint="eastAsia" w:eastAsia="仿宋" w:cs="仿宋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sz w:val="21"/>
          <w:szCs w:val="21"/>
          <w:highlight w:val="none"/>
        </w:rPr>
        <w:t>的权益、安全和健康，或对研究结果产生显著影响的研究行为。2.持续违背方案（不属于上述重大违背方案，但反复多次的违背方案）。3.研究者不配合监察/稽查。4.对违规事件不予以纠正。5.其它违背方案。</w:t>
      </w:r>
    </w:p>
    <w:p>
      <w:pPr>
        <w:spacing w:line="360" w:lineRule="auto"/>
        <w:jc w:val="center"/>
        <w:rPr>
          <w:rFonts w:hint="eastAsia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研究进展报告送审文件清单</w:t>
      </w:r>
    </w:p>
    <w:tbl>
      <w:tblPr>
        <w:tblStyle w:val="5"/>
        <w:tblW w:w="10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63"/>
        <w:gridCol w:w="567"/>
        <w:gridCol w:w="567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1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063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无</w:t>
            </w:r>
          </w:p>
        </w:tc>
        <w:tc>
          <w:tcPr>
            <w:tcW w:w="1005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1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063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递交信（如有，PI签署姓名与日期）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005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1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063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研究进展报告（PI签署姓名与日期）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005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1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063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SAE/SUSAR一览表（如适用）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005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1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063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违背/偏离方案一览表（如适用）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005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1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063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提前退出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一览表（如适用）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005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1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063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影响研究进展情况的说明（如适用）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005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1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7063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影响研究风险/受益比的文献报道或最新研究结果的说明（如适用）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005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1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7063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影响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权益问题的说明（如适用）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005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1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7063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其它材料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005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25" w:firstLineChars="250"/>
      <w:jc w:val="both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>东阳市人民医院</w:t>
    </w:r>
    <w:r>
      <w:rPr>
        <w:rFonts w:ascii="宋体" w:hAnsi="宋体"/>
        <w:sz w:val="21"/>
        <w:szCs w:val="21"/>
      </w:rPr>
      <w:t xml:space="preserve"> </w:t>
    </w:r>
    <w:r>
      <w:rPr>
        <w:rFonts w:hint="eastAsia" w:ascii="宋体" w:hAnsi="宋体"/>
        <w:sz w:val="21"/>
        <w:szCs w:val="21"/>
      </w:rPr>
      <w:t xml:space="preserve">  </w:t>
    </w:r>
    <w:r>
      <w:rPr>
        <w:rFonts w:hint="eastAsia" w:ascii="宋体" w:hAnsi="宋体"/>
        <w:sz w:val="21"/>
        <w:szCs w:val="21"/>
        <w:lang w:val="en-US" w:eastAsia="zh-CN"/>
      </w:rPr>
      <w:t xml:space="preserve">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hint="eastAsia" w:ascii="宋体" w:hAnsi="宋体"/>
        <w:sz w:val="21"/>
        <w:szCs w:val="21"/>
        <w:lang w:val="en-US" w:eastAsia="zh-CN"/>
      </w:rPr>
      <w:t xml:space="preserve">  </w:t>
    </w:r>
    <w:r>
      <w:rPr>
        <w:rFonts w:hint="eastAsia" w:ascii="宋体" w:hAnsi="宋体"/>
        <w:sz w:val="21"/>
        <w:szCs w:val="21"/>
      </w:rPr>
      <w:t>药物伦理</w:t>
    </w:r>
    <w:r>
      <w:rPr>
        <w:rFonts w:ascii="宋体" w:hAnsi="宋体"/>
        <w:sz w:val="21"/>
        <w:szCs w:val="21"/>
      </w:rPr>
      <w:t xml:space="preserve">   </w:t>
    </w:r>
    <w:r>
      <w:rPr>
        <w:rFonts w:hint="eastAsia" w:ascii="宋体" w:hAnsi="宋体"/>
        <w:sz w:val="21"/>
        <w:szCs w:val="21"/>
        <w:lang w:val="en-US" w:eastAsia="zh-CN"/>
      </w:rPr>
      <w:t xml:space="preserve"> 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hint="eastAsia" w:ascii="宋体" w:hAnsi="宋体"/>
        <w:sz w:val="21"/>
        <w:szCs w:val="21"/>
        <w:lang w:val="en-US" w:eastAsia="zh-CN"/>
      </w:rPr>
      <w:t xml:space="preserve"> </w:t>
    </w:r>
    <w:r>
      <w:rPr>
        <w:rFonts w:hint="eastAsia" w:ascii="宋体" w:hAnsi="宋体"/>
        <w:sz w:val="21"/>
        <w:szCs w:val="21"/>
      </w:rPr>
      <w:t>研究进展报告</w:t>
    </w:r>
    <w:r>
      <w:rPr>
        <w:rFonts w:ascii="宋体" w:hAnsi="宋体"/>
        <w:sz w:val="21"/>
        <w:szCs w:val="21"/>
      </w:rPr>
      <w:t xml:space="preserve">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ascii="宋体" w:hAnsi="宋体"/>
        <w:sz w:val="21"/>
        <w:szCs w:val="21"/>
      </w:rPr>
      <w:t xml:space="preserve"> </w:t>
    </w:r>
    <w:r>
      <w:rPr>
        <w:rFonts w:hint="eastAsia" w:ascii="宋体" w:hAnsi="宋体"/>
        <w:sz w:val="21"/>
        <w:szCs w:val="21"/>
        <w:lang w:val="en-US" w:eastAsia="zh-CN"/>
      </w:rPr>
      <w:t xml:space="preserve">      </w:t>
    </w:r>
    <w:r>
      <w:rPr>
        <w:rFonts w:hint="eastAsia" w:ascii="宋体" w:hAnsi="宋体"/>
        <w:sz w:val="21"/>
        <w:szCs w:val="21"/>
      </w:rPr>
      <w:t>AF/SQ-11/0</w:t>
    </w:r>
    <w:r>
      <w:rPr>
        <w:rFonts w:hint="eastAsia" w:ascii="宋体" w:hAnsi="宋体"/>
        <w:sz w:val="21"/>
        <w:szCs w:val="21"/>
        <w:lang w:val="en-US" w:eastAsia="zh-CN"/>
      </w:rPr>
      <w:t>3</w:t>
    </w:r>
    <w:r>
      <w:rPr>
        <w:rFonts w:hint="eastAsia" w:ascii="宋体" w:hAnsi="宋体"/>
        <w:sz w:val="21"/>
        <w:szCs w:val="21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57C59"/>
    <w:multiLevelType w:val="singleLevel"/>
    <w:tmpl w:val="52A57C5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EB"/>
    <w:rsid w:val="000038E6"/>
    <w:rsid w:val="001F3CC6"/>
    <w:rsid w:val="00205341"/>
    <w:rsid w:val="00430E6B"/>
    <w:rsid w:val="00555702"/>
    <w:rsid w:val="00582CE3"/>
    <w:rsid w:val="005E3619"/>
    <w:rsid w:val="006869DC"/>
    <w:rsid w:val="006A5E72"/>
    <w:rsid w:val="006B5929"/>
    <w:rsid w:val="00783435"/>
    <w:rsid w:val="007C69D0"/>
    <w:rsid w:val="00842AE6"/>
    <w:rsid w:val="008A0457"/>
    <w:rsid w:val="008B2FD5"/>
    <w:rsid w:val="00950BDD"/>
    <w:rsid w:val="00A83BD5"/>
    <w:rsid w:val="00A87513"/>
    <w:rsid w:val="00AA2D24"/>
    <w:rsid w:val="00AB020D"/>
    <w:rsid w:val="00B11380"/>
    <w:rsid w:val="00B32045"/>
    <w:rsid w:val="00B35FC4"/>
    <w:rsid w:val="00C24DA9"/>
    <w:rsid w:val="00C47816"/>
    <w:rsid w:val="00C62DE5"/>
    <w:rsid w:val="00CF50D9"/>
    <w:rsid w:val="00DB112C"/>
    <w:rsid w:val="00DC7CEB"/>
    <w:rsid w:val="00DE0E26"/>
    <w:rsid w:val="00E076A0"/>
    <w:rsid w:val="00EC2B79"/>
    <w:rsid w:val="00EC54D5"/>
    <w:rsid w:val="00F14973"/>
    <w:rsid w:val="00F9686B"/>
    <w:rsid w:val="00FE6B66"/>
    <w:rsid w:val="194A780D"/>
    <w:rsid w:val="25357778"/>
    <w:rsid w:val="4CBB1AD9"/>
    <w:rsid w:val="5B111EE2"/>
    <w:rsid w:val="7533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232</Words>
  <Characters>1328</Characters>
  <Lines>11</Lines>
  <Paragraphs>3</Paragraphs>
  <TotalTime>2</TotalTime>
  <ScaleCrop>false</ScaleCrop>
  <LinksUpToDate>false</LinksUpToDate>
  <CharactersWithSpaces>1557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2018-08-14T07:25:00Z</dcterms:created>
  <dc:creator>Sky123.Org</dc:creator>
  <cp:lastModifiedBy>CC</cp:lastModifiedBy>
  <dcterms:modified xsi:type="dcterms:W3CDTF">2024-11-05T08:04:20Z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B6CDB402855641FEAC6E0F170094D8F3</vt:lpwstr>
  </property>
</Properties>
</file>